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17" w:rsidRDefault="00941717">
      <w:bookmarkStart w:id="0" w:name="_GoBack"/>
      <w:bookmarkEnd w:id="0"/>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03" w:type="dxa"/>
          <w:bottom w:w="28" w:type="dxa"/>
        </w:tblCellMar>
        <w:tblLook w:val="0000" w:firstRow="0" w:lastRow="0" w:firstColumn="0" w:lastColumn="0" w:noHBand="0" w:noVBand="0"/>
      </w:tblPr>
      <w:tblGrid>
        <w:gridCol w:w="2152"/>
        <w:gridCol w:w="1690"/>
        <w:gridCol w:w="2129"/>
        <w:gridCol w:w="1888"/>
        <w:gridCol w:w="1768"/>
      </w:tblGrid>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Thema:</w:t>
            </w:r>
          </w:p>
        </w:tc>
        <w:tc>
          <w:tcPr>
            <w:tcW w:w="2130" w:type="dxa"/>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Klasse/Schulform:</w:t>
            </w:r>
          </w:p>
        </w:tc>
        <w:tc>
          <w:tcPr>
            <w:tcW w:w="1889" w:type="dxa"/>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Zeitrichtwert:</w:t>
            </w:r>
          </w:p>
        </w:tc>
        <w:tc>
          <w:tcPr>
            <w:tcW w:w="1769" w:type="dxa"/>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Fach:</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auto"/>
          </w:tcPr>
          <w:p w:rsidR="00941717" w:rsidRDefault="007E2B25">
            <w:pPr>
              <w:pStyle w:val="KeinLeerraum"/>
              <w:rPr>
                <w:b/>
              </w:rPr>
            </w:pPr>
            <w:r>
              <w:rPr>
                <w:b/>
              </w:rPr>
              <w:t xml:space="preserve">Tierethik </w:t>
            </w:r>
            <w:r w:rsidR="002E3572">
              <w:rPr>
                <w:b/>
              </w:rPr>
              <w:t>– Üb</w:t>
            </w:r>
            <w:r w:rsidR="00153826">
              <w:rPr>
                <w:b/>
              </w:rPr>
              <w:t>ung</w:t>
            </w:r>
            <w:r w:rsidR="002E3572">
              <w:rPr>
                <w:b/>
              </w:rPr>
              <w:t xml:space="preserve"> 1 </w:t>
            </w:r>
            <w:r w:rsidR="006C7B92">
              <w:rPr>
                <w:b/>
              </w:rPr>
              <w:t xml:space="preserve">(verschiedene tierethische Positionen) </w:t>
            </w:r>
          </w:p>
        </w:tc>
        <w:tc>
          <w:tcPr>
            <w:tcW w:w="2130" w:type="dxa"/>
            <w:tcBorders>
              <w:top w:val="single" w:sz="4" w:space="0" w:color="808080"/>
              <w:left w:val="single" w:sz="4" w:space="0" w:color="808080"/>
              <w:bottom w:val="single" w:sz="4" w:space="0" w:color="808080"/>
              <w:right w:val="single" w:sz="4" w:space="0" w:color="808080"/>
            </w:tcBorders>
            <w:shd w:val="clear" w:color="auto" w:fill="auto"/>
          </w:tcPr>
          <w:p w:rsidR="00941717" w:rsidRDefault="007E2B25">
            <w:pPr>
              <w:pStyle w:val="KeinLeerraum"/>
            </w:pPr>
            <w:r>
              <w:t xml:space="preserve">12/13 </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rsidR="00941717" w:rsidRDefault="00AD2867">
            <w:pPr>
              <w:pStyle w:val="KeinLeerraum"/>
            </w:pPr>
            <w:r>
              <w:t>90 bis 120</w:t>
            </w:r>
            <w:r w:rsidR="007E2B25">
              <w:t xml:space="preserve"> Minuten</w:t>
            </w:r>
          </w:p>
        </w:tc>
        <w:tc>
          <w:tcPr>
            <w:tcW w:w="1769" w:type="dxa"/>
            <w:tcBorders>
              <w:top w:val="single" w:sz="4" w:space="0" w:color="808080"/>
              <w:left w:val="single" w:sz="4" w:space="0" w:color="808080"/>
              <w:bottom w:val="single" w:sz="4" w:space="0" w:color="808080"/>
              <w:right w:val="single" w:sz="4" w:space="0" w:color="808080"/>
            </w:tcBorders>
            <w:shd w:val="clear" w:color="auto" w:fill="auto"/>
          </w:tcPr>
          <w:p w:rsidR="007E2B25" w:rsidRDefault="007E2B25">
            <w:pPr>
              <w:pStyle w:val="KeinLeerraum"/>
            </w:pPr>
            <w:r>
              <w:t>Werte und Normen</w:t>
            </w:r>
            <w:r w:rsidR="002E3572">
              <w:t xml:space="preserve"> </w:t>
            </w:r>
            <w:r>
              <w:t xml:space="preserve"> </w:t>
            </w:r>
          </w:p>
          <w:p w:rsidR="002E3572" w:rsidRDefault="002E3572">
            <w:pPr>
              <w:pStyle w:val="KeinLeerraum"/>
            </w:pPr>
            <w:r>
              <w:t xml:space="preserve">Philosophie </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Erstellt von (für Nachfragen der Redaktion):</w:t>
            </w:r>
          </w:p>
        </w:tc>
        <w:tc>
          <w:tcPr>
            <w:tcW w:w="2130" w:type="dxa"/>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Telefon (optional):</w:t>
            </w:r>
          </w:p>
        </w:tc>
        <w:tc>
          <w:tcPr>
            <w:tcW w:w="3658" w:type="dxa"/>
            <w:gridSpan w:val="2"/>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E-Mail-Adresse:</w:t>
            </w:r>
            <w:r w:rsidR="007E2B25">
              <w:t xml:space="preserve"> </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auto"/>
          </w:tcPr>
          <w:p w:rsidR="007E2B25" w:rsidRDefault="007E2B25">
            <w:pPr>
              <w:pStyle w:val="KeinLeerraum"/>
            </w:pPr>
            <w:r>
              <w:t>Thorsten Schimschal (Fachberater für das Fach Werte und Normen)</w:t>
            </w:r>
          </w:p>
          <w:p w:rsidR="002E3572" w:rsidRDefault="002E3572">
            <w:pPr>
              <w:pStyle w:val="KeinLeerraum"/>
            </w:pPr>
            <w:r>
              <w:t>Wilhelm Heim (Fachberater für das Fach Philosophie)</w:t>
            </w:r>
          </w:p>
        </w:tc>
        <w:tc>
          <w:tcPr>
            <w:tcW w:w="2130" w:type="dxa"/>
            <w:tcBorders>
              <w:top w:val="single" w:sz="4" w:space="0" w:color="808080"/>
              <w:left w:val="single" w:sz="4" w:space="0" w:color="808080"/>
              <w:bottom w:val="single" w:sz="4" w:space="0" w:color="808080"/>
              <w:right w:val="single" w:sz="4" w:space="0" w:color="808080"/>
            </w:tcBorders>
            <w:shd w:val="clear" w:color="auto" w:fill="auto"/>
          </w:tcPr>
          <w:p w:rsidR="00941717" w:rsidRDefault="007E2B25">
            <w:pPr>
              <w:pStyle w:val="KeinLeerraum"/>
            </w:pPr>
            <w:r>
              <w:t>0170 - 4951446</w:t>
            </w:r>
          </w:p>
        </w:tc>
        <w:tc>
          <w:tcPr>
            <w:tcW w:w="3658" w:type="dxa"/>
            <w:gridSpan w:val="2"/>
            <w:tcBorders>
              <w:top w:val="single" w:sz="4" w:space="0" w:color="808080"/>
              <w:left w:val="single" w:sz="4" w:space="0" w:color="808080"/>
              <w:bottom w:val="single" w:sz="4" w:space="0" w:color="808080"/>
              <w:right w:val="single" w:sz="4" w:space="0" w:color="808080"/>
            </w:tcBorders>
            <w:shd w:val="clear" w:color="auto" w:fill="auto"/>
          </w:tcPr>
          <w:p w:rsidR="007E2B25" w:rsidRDefault="001F7DC1">
            <w:pPr>
              <w:pStyle w:val="KeinLeerraum"/>
              <w:rPr>
                <w:rStyle w:val="Hyperlink"/>
              </w:rPr>
            </w:pPr>
            <w:hyperlink r:id="rId6" w:history="1">
              <w:r w:rsidR="007E2B25" w:rsidRPr="00DB56E0">
                <w:rPr>
                  <w:rStyle w:val="Hyperlink"/>
                </w:rPr>
                <w:t>Thorsten.Schimschal@nlschb.de</w:t>
              </w:r>
            </w:hyperlink>
          </w:p>
          <w:p w:rsidR="002E3572" w:rsidRPr="008E4AC6" w:rsidRDefault="001F7DC1">
            <w:pPr>
              <w:pStyle w:val="KeinLeerraum"/>
              <w:rPr>
                <w:color w:val="0563C1" w:themeColor="hyperlink"/>
                <w:u w:val="single"/>
              </w:rPr>
            </w:pPr>
            <w:hyperlink r:id="rId7" w:history="1">
              <w:r w:rsidR="002E3572" w:rsidRPr="00653886">
                <w:rPr>
                  <w:rStyle w:val="Hyperlink"/>
                </w:rPr>
                <w:t>Wilhelm.Heim@nlschb.de</w:t>
              </w:r>
            </w:hyperlink>
            <w:r w:rsidR="002E3572">
              <w:rPr>
                <w:color w:val="0563C1" w:themeColor="hyperlink"/>
                <w:u w:val="single"/>
              </w:rPr>
              <w:t xml:space="preserve"> </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B2B2B2"/>
          </w:tcPr>
          <w:p w:rsidR="00941717" w:rsidRDefault="000B5BE7">
            <w:pPr>
              <w:pStyle w:val="KeinLeerraum"/>
            </w:pPr>
            <w:r>
              <w:t>Nennung des Urhebers/der Urheberin:</w:t>
            </w:r>
          </w:p>
        </w:tc>
        <w:tc>
          <w:tcPr>
            <w:tcW w:w="5788" w:type="dxa"/>
            <w:gridSpan w:val="3"/>
            <w:tcBorders>
              <w:top w:val="single" w:sz="4" w:space="0" w:color="808080"/>
              <w:left w:val="single" w:sz="4" w:space="0" w:color="808080"/>
              <w:bottom w:val="single" w:sz="4" w:space="0" w:color="808080"/>
              <w:right w:val="single" w:sz="4" w:space="0" w:color="808080"/>
            </w:tcBorders>
            <w:shd w:val="clear" w:color="auto" w:fill="auto"/>
          </w:tcPr>
          <w:p w:rsidR="00941717" w:rsidRDefault="000B5BE7">
            <w:pPr>
              <w:pStyle w:val="KeinLeerraum"/>
              <w:jc w:val="center"/>
            </w:pPr>
            <w:r>
              <w:rPr>
                <w:b/>
                <w:bCs/>
              </w:rPr>
              <w:t>JA</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B2B2B2"/>
          </w:tcPr>
          <w:p w:rsidR="00941717" w:rsidRDefault="000B5BE7">
            <w:pPr>
              <w:pStyle w:val="KeinLeerraum"/>
            </w:pPr>
            <w:r>
              <w:t>Bei der Bearbeitung sind digitale Werkzeuge/Geräte erforderlich:</w:t>
            </w:r>
          </w:p>
        </w:tc>
        <w:tc>
          <w:tcPr>
            <w:tcW w:w="5788" w:type="dxa"/>
            <w:gridSpan w:val="3"/>
            <w:tcBorders>
              <w:top w:val="single" w:sz="4" w:space="0" w:color="808080"/>
              <w:left w:val="single" w:sz="4" w:space="0" w:color="808080"/>
              <w:bottom w:val="single" w:sz="4" w:space="0" w:color="808080"/>
              <w:right w:val="single" w:sz="4" w:space="0" w:color="808080"/>
            </w:tcBorders>
            <w:shd w:val="clear" w:color="auto" w:fill="auto"/>
          </w:tcPr>
          <w:p w:rsidR="00941717" w:rsidRPr="007E2B25" w:rsidRDefault="007E2B25">
            <w:pPr>
              <w:pStyle w:val="KeinLeerraum"/>
              <w:jc w:val="center"/>
              <w:rPr>
                <w:b/>
              </w:rPr>
            </w:pPr>
            <w:r w:rsidRPr="007E2B25">
              <w:rPr>
                <w:b/>
              </w:rPr>
              <w:t>NEIN</w:t>
            </w:r>
          </w:p>
        </w:tc>
      </w:tr>
      <w:tr w:rsidR="00941717">
        <w:tc>
          <w:tcPr>
            <w:tcW w:w="3848" w:type="dxa"/>
            <w:gridSpan w:val="2"/>
            <w:tcBorders>
              <w:top w:val="single" w:sz="4" w:space="0" w:color="808080"/>
              <w:left w:val="single" w:sz="4" w:space="0" w:color="808080"/>
              <w:bottom w:val="single" w:sz="4" w:space="0" w:color="808080"/>
              <w:right w:val="single" w:sz="4" w:space="0" w:color="808080"/>
            </w:tcBorders>
            <w:shd w:val="clear" w:color="auto" w:fill="B2B2B2"/>
          </w:tcPr>
          <w:p w:rsidR="00941717" w:rsidRDefault="000B5BE7">
            <w:pPr>
              <w:pStyle w:val="KeinLeerraum"/>
            </w:pPr>
            <w:r>
              <w:t>Das Material eignet sich zur selbstständigen Bearbeitung ohne Lehrkraft (Regelfall):</w:t>
            </w:r>
          </w:p>
        </w:tc>
        <w:tc>
          <w:tcPr>
            <w:tcW w:w="5788" w:type="dxa"/>
            <w:gridSpan w:val="3"/>
            <w:tcBorders>
              <w:top w:val="single" w:sz="4" w:space="0" w:color="808080"/>
              <w:left w:val="single" w:sz="4" w:space="0" w:color="808080"/>
              <w:bottom w:val="single" w:sz="4" w:space="0" w:color="808080"/>
              <w:right w:val="single" w:sz="4" w:space="0" w:color="808080"/>
            </w:tcBorders>
            <w:shd w:val="clear" w:color="auto" w:fill="auto"/>
          </w:tcPr>
          <w:p w:rsidR="00941717" w:rsidRDefault="000B5BE7">
            <w:pPr>
              <w:pStyle w:val="KeinLeerraum"/>
              <w:jc w:val="center"/>
            </w:pPr>
            <w:r>
              <w:rPr>
                <w:b/>
                <w:bCs/>
              </w:rPr>
              <w:t>JA</w:t>
            </w:r>
          </w:p>
        </w:tc>
      </w:tr>
      <w:tr w:rsidR="00941717">
        <w:tc>
          <w:tcPr>
            <w:tcW w:w="2154" w:type="dxa"/>
            <w:tcBorders>
              <w:top w:val="single" w:sz="4" w:space="0" w:color="808080"/>
              <w:left w:val="single" w:sz="4" w:space="0" w:color="808080"/>
              <w:bottom w:val="single" w:sz="4" w:space="0" w:color="808080"/>
              <w:right w:val="single" w:sz="4" w:space="0" w:color="808080"/>
            </w:tcBorders>
            <w:shd w:val="clear" w:color="auto" w:fill="595959"/>
          </w:tcPr>
          <w:p w:rsidR="00941717" w:rsidRDefault="000B5BE7">
            <w:pPr>
              <w:pStyle w:val="KeinLeerraum"/>
              <w:rPr>
                <w:b/>
                <w:color w:val="FFFFFF"/>
              </w:rPr>
            </w:pPr>
            <w:r>
              <w:rPr>
                <w:b/>
                <w:color w:val="FFFFFF"/>
              </w:rPr>
              <w:t>Kompetenzen oder Kompetenzbereich laut KC</w:t>
            </w:r>
          </w:p>
        </w:tc>
        <w:tc>
          <w:tcPr>
            <w:tcW w:w="7482" w:type="dxa"/>
            <w:gridSpan w:val="4"/>
            <w:tcBorders>
              <w:top w:val="single" w:sz="4" w:space="0" w:color="808080"/>
              <w:left w:val="single" w:sz="4" w:space="0" w:color="808080"/>
              <w:bottom w:val="single" w:sz="4" w:space="0" w:color="808080"/>
              <w:right w:val="single" w:sz="4" w:space="0" w:color="808080"/>
            </w:tcBorders>
            <w:shd w:val="clear" w:color="auto" w:fill="auto"/>
          </w:tcPr>
          <w:p w:rsidR="00941717" w:rsidRDefault="00941717">
            <w:pPr>
              <w:pStyle w:val="KeinLeerraum"/>
              <w:rPr>
                <w:rFonts w:ascii="DejaVu Serif" w:hAnsi="DejaVu Serif"/>
              </w:rPr>
            </w:pPr>
          </w:p>
        </w:tc>
      </w:tr>
      <w:tr w:rsidR="00941717">
        <w:tc>
          <w:tcPr>
            <w:tcW w:w="2154" w:type="dxa"/>
            <w:tcBorders>
              <w:top w:val="single" w:sz="4" w:space="0" w:color="808080"/>
              <w:left w:val="single" w:sz="4" w:space="0" w:color="808080"/>
              <w:bottom w:val="single" w:sz="4" w:space="0" w:color="808080"/>
              <w:right w:val="single" w:sz="4" w:space="0" w:color="808080"/>
            </w:tcBorders>
            <w:shd w:val="clear" w:color="auto" w:fill="595959"/>
          </w:tcPr>
          <w:p w:rsidR="00941717" w:rsidRDefault="000B5BE7">
            <w:pPr>
              <w:pStyle w:val="KeinLeerraum"/>
              <w:rPr>
                <w:b/>
                <w:color w:val="FFFFFF"/>
              </w:rPr>
            </w:pPr>
            <w:r>
              <w:rPr>
                <w:b/>
                <w:color w:val="FFFFFF"/>
              </w:rPr>
              <w:t>Kenntnisse und Fertigkeiten laut KC</w:t>
            </w:r>
          </w:p>
        </w:tc>
        <w:tc>
          <w:tcPr>
            <w:tcW w:w="3824" w:type="dxa"/>
            <w:gridSpan w:val="2"/>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 xml:space="preserve">Möglicher </w:t>
            </w:r>
            <w:proofErr w:type="spellStart"/>
            <w:r>
              <w:t>Lernpfad</w:t>
            </w:r>
            <w:proofErr w:type="spellEnd"/>
            <w:r>
              <w:t xml:space="preserve"> – welche Inhalte</w:t>
            </w:r>
            <w:r w:rsidR="002E3572">
              <w:t xml:space="preserve"> und</w:t>
            </w:r>
            <w:r>
              <w:t xml:space="preserve"> Übungen sind in welcher Reihenfolge empfehlenswert? (Für Schüler*innen formuliert)</w:t>
            </w:r>
          </w:p>
        </w:tc>
        <w:tc>
          <w:tcPr>
            <w:tcW w:w="3658" w:type="dxa"/>
            <w:gridSpan w:val="2"/>
            <w:tcBorders>
              <w:top w:val="single" w:sz="4" w:space="0" w:color="808080"/>
              <w:left w:val="single" w:sz="4" w:space="0" w:color="808080"/>
              <w:bottom w:val="single" w:sz="4" w:space="0" w:color="808080"/>
              <w:right w:val="single" w:sz="4" w:space="0" w:color="808080"/>
            </w:tcBorders>
            <w:shd w:val="clear" w:color="auto" w:fill="BFBFBF"/>
          </w:tcPr>
          <w:p w:rsidR="00941717" w:rsidRDefault="000B5BE7">
            <w:pPr>
              <w:pStyle w:val="KeinLeerraum"/>
            </w:pPr>
            <w:r>
              <w:t>Worauf sollten Eltern und Schüler*innen achten? (für Eltern formuliert)</w:t>
            </w:r>
          </w:p>
        </w:tc>
      </w:tr>
      <w:tr w:rsidR="00941717">
        <w:tc>
          <w:tcPr>
            <w:tcW w:w="2154" w:type="dxa"/>
            <w:tcBorders>
              <w:top w:val="single" w:sz="4" w:space="0" w:color="808080"/>
              <w:left w:val="single" w:sz="4" w:space="0" w:color="808080"/>
              <w:bottom w:val="single" w:sz="4" w:space="0" w:color="808080"/>
              <w:right w:val="single" w:sz="4" w:space="0" w:color="808080"/>
            </w:tcBorders>
            <w:shd w:val="clear" w:color="auto" w:fill="auto"/>
          </w:tcPr>
          <w:p w:rsidR="008C2198" w:rsidRDefault="008E4AC6" w:rsidP="008E4AC6">
            <w:pPr>
              <w:pStyle w:val="LinkeSpalte"/>
              <w:spacing w:after="0"/>
              <w:rPr>
                <w:rFonts w:ascii="Arial" w:hAnsi="Arial" w:cs="Arial"/>
                <w:sz w:val="16"/>
                <w:szCs w:val="16"/>
              </w:rPr>
            </w:pPr>
            <w:r w:rsidRPr="00B1737D">
              <w:rPr>
                <w:rFonts w:ascii="Arial" w:hAnsi="Arial" w:cs="Arial"/>
                <w:sz w:val="16"/>
                <w:szCs w:val="16"/>
              </w:rPr>
              <w:t>Die KCs „Werte und Normen für die gymnasiale Oberstufe, das Berufliche Gymnasium, das Kolleg“ bieten im Kontext des Rahmenthemas „Ethik“ das Wahlmodul „Ökologische Ethik“ an. Innerhalb dieses Wahlmodul</w:t>
            </w:r>
            <w:r w:rsidR="00B1737D" w:rsidRPr="00B1737D">
              <w:rPr>
                <w:rFonts w:ascii="Arial" w:hAnsi="Arial" w:cs="Arial"/>
                <w:sz w:val="16"/>
                <w:szCs w:val="16"/>
              </w:rPr>
              <w:t>s</w:t>
            </w:r>
            <w:r w:rsidRPr="00B1737D">
              <w:rPr>
                <w:rFonts w:ascii="Arial" w:hAnsi="Arial" w:cs="Arial"/>
                <w:sz w:val="16"/>
                <w:szCs w:val="16"/>
              </w:rPr>
              <w:t xml:space="preserve"> w</w:t>
            </w:r>
            <w:r w:rsidR="00B1737D" w:rsidRPr="00B1737D">
              <w:rPr>
                <w:rFonts w:ascii="Arial" w:hAnsi="Arial" w:cs="Arial"/>
                <w:sz w:val="16"/>
                <w:szCs w:val="16"/>
              </w:rPr>
              <w:t>ird die Beschäftigung mit dem Thema „Tierethik“ als verbindlicher Unterrichtsaspekt ausgewiesen</w:t>
            </w:r>
            <w:r w:rsidR="00B1737D">
              <w:rPr>
                <w:rFonts w:ascii="Arial" w:hAnsi="Arial" w:cs="Arial"/>
                <w:sz w:val="16"/>
                <w:szCs w:val="16"/>
              </w:rPr>
              <w:t xml:space="preserve"> (vgl. </w:t>
            </w:r>
            <w:r w:rsidR="008C2198">
              <w:rPr>
                <w:rFonts w:ascii="Arial" w:hAnsi="Arial" w:cs="Arial"/>
                <w:sz w:val="16"/>
                <w:szCs w:val="16"/>
              </w:rPr>
              <w:t>das</w:t>
            </w:r>
            <w:r w:rsidR="00B1737D">
              <w:rPr>
                <w:rFonts w:ascii="Arial" w:hAnsi="Arial" w:cs="Arial"/>
                <w:sz w:val="16"/>
                <w:szCs w:val="16"/>
              </w:rPr>
              <w:t xml:space="preserve"> KC, S. 33). </w:t>
            </w:r>
            <w:r w:rsidR="00552A50">
              <w:rPr>
                <w:rFonts w:ascii="Arial" w:hAnsi="Arial" w:cs="Arial"/>
                <w:sz w:val="16"/>
                <w:szCs w:val="16"/>
              </w:rPr>
              <w:t>D</w:t>
            </w:r>
            <w:r w:rsidR="008C2198">
              <w:rPr>
                <w:rFonts w:ascii="Arial" w:hAnsi="Arial" w:cs="Arial"/>
                <w:sz w:val="16"/>
                <w:szCs w:val="16"/>
              </w:rPr>
              <w:t xml:space="preserve">ie hier dargestellte Übung festigt darüber hinaus die folgende (verpflichtende) Kernkompetenz des Rahmenthemas: </w:t>
            </w:r>
          </w:p>
          <w:p w:rsidR="008C2198" w:rsidRDefault="008C2198" w:rsidP="008E4AC6">
            <w:pPr>
              <w:pStyle w:val="LinkeSpalte"/>
              <w:spacing w:after="0"/>
              <w:rPr>
                <w:rFonts w:ascii="Arial" w:hAnsi="Arial" w:cs="Arial"/>
                <w:sz w:val="16"/>
                <w:szCs w:val="16"/>
              </w:rPr>
            </w:pPr>
            <w:r>
              <w:rPr>
                <w:rFonts w:ascii="Arial" w:hAnsi="Arial" w:cs="Arial"/>
                <w:sz w:val="16"/>
                <w:szCs w:val="16"/>
              </w:rPr>
              <w:t xml:space="preserve">Die SuS… </w:t>
            </w:r>
          </w:p>
          <w:p w:rsidR="00950F0D" w:rsidRDefault="008C2198" w:rsidP="008E4AC6">
            <w:pPr>
              <w:pStyle w:val="LinkeSpalte"/>
              <w:spacing w:after="0"/>
              <w:rPr>
                <w:rFonts w:ascii="Arial" w:hAnsi="Arial" w:cs="Arial"/>
                <w:sz w:val="16"/>
                <w:szCs w:val="16"/>
              </w:rPr>
            </w:pPr>
            <w:r>
              <w:rPr>
                <w:rFonts w:ascii="Arial" w:hAnsi="Arial" w:cs="Arial"/>
                <w:sz w:val="16"/>
                <w:szCs w:val="16"/>
              </w:rPr>
              <w:t>reflektieren</w:t>
            </w:r>
            <w:r w:rsidR="00B45914">
              <w:rPr>
                <w:rFonts w:ascii="Arial" w:hAnsi="Arial" w:cs="Arial"/>
                <w:sz w:val="16"/>
                <w:szCs w:val="16"/>
              </w:rPr>
              <w:t xml:space="preserve"> die Tragweite und die </w:t>
            </w:r>
            <w:r w:rsidR="009164C7">
              <w:rPr>
                <w:rFonts w:ascii="Arial" w:hAnsi="Arial" w:cs="Arial"/>
                <w:sz w:val="16"/>
                <w:szCs w:val="16"/>
              </w:rPr>
              <w:t xml:space="preserve">Praktikabilität normativer Positionen in Feldern der angewandten Ethik. </w:t>
            </w:r>
          </w:p>
          <w:p w:rsidR="008C2198" w:rsidRPr="002E3572" w:rsidRDefault="00950F0D" w:rsidP="008E4AC6">
            <w:pPr>
              <w:pStyle w:val="LinkeSpalte"/>
              <w:spacing w:after="0"/>
              <w:rPr>
                <w:rFonts w:ascii="Arial" w:hAnsi="Arial" w:cs="Arial"/>
                <w:sz w:val="16"/>
                <w:szCs w:val="16"/>
              </w:rPr>
            </w:pPr>
            <w:r w:rsidRPr="002E3572">
              <w:rPr>
                <w:rFonts w:ascii="Arial" w:hAnsi="Arial" w:cs="Arial"/>
                <w:sz w:val="16"/>
                <w:szCs w:val="16"/>
              </w:rPr>
              <w:t xml:space="preserve">Für das Fach Philosophie ist vom </w:t>
            </w:r>
            <w:proofErr w:type="spellStart"/>
            <w:r w:rsidRPr="002E3572">
              <w:rPr>
                <w:rFonts w:ascii="Arial" w:hAnsi="Arial" w:cs="Arial"/>
                <w:sz w:val="16"/>
                <w:szCs w:val="16"/>
              </w:rPr>
              <w:t>Nds</w:t>
            </w:r>
            <w:proofErr w:type="spellEnd"/>
            <w:r w:rsidRPr="002E3572">
              <w:rPr>
                <w:rFonts w:ascii="Arial" w:hAnsi="Arial" w:cs="Arial"/>
                <w:sz w:val="16"/>
                <w:szCs w:val="16"/>
              </w:rPr>
              <w:t>. Kultus</w:t>
            </w:r>
            <w:r w:rsidR="00F719EF">
              <w:rPr>
                <w:rFonts w:ascii="Arial" w:hAnsi="Arial" w:cs="Arial"/>
                <w:sz w:val="16"/>
                <w:szCs w:val="16"/>
              </w:rPr>
              <w:t>-</w:t>
            </w:r>
            <w:r w:rsidRPr="002E3572">
              <w:rPr>
                <w:rFonts w:ascii="Arial" w:hAnsi="Arial" w:cs="Arial"/>
                <w:sz w:val="16"/>
                <w:szCs w:val="16"/>
              </w:rPr>
              <w:t>ministerium noch kein Kerncurriculum vorgelegt worden. Bezüglich der rechtlichen Legitimation von Unterrichtsinhalten sind daher neben den EPA nach wie vor die Rahmenrichtlinien aus dem Jahre 1985 maßgeblich. Dort wird unter dem Lernfeld „Praktische Philosophie“ die Auseinandersetzung mit Fragestellungen der ökologischen Ethik als verbindlicher Inhalt vorgeschrieben (vgl. Niedersächsisches Kultusministerium (</w:t>
            </w:r>
            <w:proofErr w:type="spellStart"/>
            <w:r w:rsidRPr="002E3572">
              <w:rPr>
                <w:rFonts w:ascii="Arial" w:hAnsi="Arial" w:cs="Arial"/>
                <w:sz w:val="16"/>
                <w:szCs w:val="16"/>
              </w:rPr>
              <w:t>Hg</w:t>
            </w:r>
            <w:proofErr w:type="spellEnd"/>
            <w:r w:rsidRPr="002E3572">
              <w:rPr>
                <w:rFonts w:ascii="Arial" w:hAnsi="Arial" w:cs="Arial"/>
                <w:sz w:val="16"/>
                <w:szCs w:val="16"/>
              </w:rPr>
              <w:t>.): Rahmenrichtlinien für das Gymnasium – Philosophie, Hannover 1985, S. 11).</w:t>
            </w:r>
          </w:p>
          <w:p w:rsidR="00941717" w:rsidRPr="00B1737D" w:rsidRDefault="00941717" w:rsidP="00F719EF">
            <w:pPr>
              <w:pStyle w:val="LinkeSpalte"/>
              <w:spacing w:after="0"/>
              <w:rPr>
                <w:rFonts w:ascii="Arial" w:hAnsi="Arial" w:cs="Arial"/>
                <w:sz w:val="16"/>
                <w:szCs w:val="16"/>
              </w:rPr>
            </w:pPr>
          </w:p>
        </w:tc>
        <w:tc>
          <w:tcPr>
            <w:tcW w:w="3824" w:type="dxa"/>
            <w:gridSpan w:val="2"/>
            <w:tcBorders>
              <w:top w:val="single" w:sz="4" w:space="0" w:color="808080"/>
              <w:left w:val="single" w:sz="4" w:space="0" w:color="808080"/>
              <w:bottom w:val="single" w:sz="4" w:space="0" w:color="808080"/>
              <w:right w:val="single" w:sz="4" w:space="0" w:color="808080"/>
            </w:tcBorders>
            <w:shd w:val="clear" w:color="auto" w:fill="auto"/>
          </w:tcPr>
          <w:p w:rsidR="00941717" w:rsidRDefault="002E3572">
            <w:pPr>
              <w:pStyle w:val="KeinLeerraum"/>
            </w:pPr>
            <w:r>
              <w:t xml:space="preserve">Der </w:t>
            </w:r>
            <w:proofErr w:type="spellStart"/>
            <w:r>
              <w:t>Lernpfad</w:t>
            </w:r>
            <w:proofErr w:type="spellEnd"/>
            <w:r>
              <w:t xml:space="preserve"> entspricht der Reihenfolge der Arbeitsaufträge auf der dazugehörigen PDF-Datei.  </w:t>
            </w:r>
          </w:p>
          <w:p w:rsidR="00153826" w:rsidRDefault="00153826">
            <w:pPr>
              <w:pStyle w:val="KeinLeerraum"/>
            </w:pPr>
          </w:p>
          <w:p w:rsidR="00F51D5E" w:rsidRDefault="00153826">
            <w:pPr>
              <w:pStyle w:val="KeinLeerraum"/>
            </w:pPr>
            <w:r>
              <w:t>Nach einer grundlegenden Definition des Begriffs „Tierethik“</w:t>
            </w:r>
            <w:r w:rsidR="00F51D5E">
              <w:t xml:space="preserve"> und einer Sammlung tierethisch relevanter Bereiche </w:t>
            </w:r>
            <w:r w:rsidR="006C7B92">
              <w:t>(Abschnitt 1)</w:t>
            </w:r>
            <w:r w:rsidR="00F51D5E">
              <w:t xml:space="preserve"> erarbeiten Sie verschiedene Positionen zum Mensch-Tier-Verhältnis (Abschnitt 2) und ordnen diese Positionen anschließenden tierethischen Gruppierungen zu (Abschnitt 3). </w:t>
            </w:r>
          </w:p>
          <w:p w:rsidR="00F51D5E" w:rsidRDefault="00F51D5E">
            <w:pPr>
              <w:pStyle w:val="KeinLeerraum"/>
            </w:pPr>
          </w:p>
          <w:p w:rsidR="00F719EF" w:rsidRDefault="00F51D5E">
            <w:pPr>
              <w:pStyle w:val="KeinLeerraum"/>
            </w:pPr>
            <w:r>
              <w:t>Daraufhin erfolgt eine Auseinandersetzung mit der tierethischen Position Peter Singers</w:t>
            </w:r>
            <w:r w:rsidR="00F719EF">
              <w:t xml:space="preserve">, und zwar zunächst in Form einer eigenständigen Rekonstruktion der Position (Abschnitt 4), eines Vergleichs mit der Position eines Kritikers Singers und einer persönlichen Stellungnahme zu der Frage, welche Maß an Rücksicht gegenüber Tieren geboten ist (Abschnitt 5). </w:t>
            </w:r>
          </w:p>
          <w:p w:rsidR="00F719EF" w:rsidRDefault="00F719EF">
            <w:pPr>
              <w:pStyle w:val="KeinLeerraum"/>
            </w:pPr>
          </w:p>
          <w:p w:rsidR="00153826" w:rsidRDefault="00F719EF">
            <w:pPr>
              <w:pStyle w:val="KeinLeerraum"/>
            </w:pPr>
            <w:r>
              <w:t xml:space="preserve">Insbesondere die Abschnitte 4 und 5 der Datei eignen sich zur effektiven Vorbereitung auf das schriftliche Zentralabitur im Fach Werte und Normen.  </w:t>
            </w:r>
            <w:r w:rsidR="00F51D5E">
              <w:t xml:space="preserve">   </w:t>
            </w:r>
          </w:p>
        </w:tc>
        <w:tc>
          <w:tcPr>
            <w:tcW w:w="3658" w:type="dxa"/>
            <w:gridSpan w:val="2"/>
            <w:tcBorders>
              <w:top w:val="single" w:sz="4" w:space="0" w:color="808080"/>
              <w:left w:val="single" w:sz="4" w:space="0" w:color="808080"/>
              <w:bottom w:val="single" w:sz="4" w:space="0" w:color="808080"/>
              <w:right w:val="single" w:sz="4" w:space="0" w:color="808080"/>
            </w:tcBorders>
            <w:shd w:val="clear" w:color="auto" w:fill="auto"/>
          </w:tcPr>
          <w:p w:rsidR="006C7B92" w:rsidRDefault="00153826">
            <w:pPr>
              <w:pStyle w:val="KeinLeerraum"/>
            </w:pPr>
            <w:r>
              <w:t>Wenn Ihre Kinder die hier dokumentierte Lektion bearbeiten, stehen sie bereits kurz vor dem Abitur</w:t>
            </w:r>
            <w:r w:rsidR="006C7B92">
              <w:t xml:space="preserve"> und sind in selbstständigem Arbeiten in aller Regel geübt</w:t>
            </w:r>
            <w:r>
              <w:t xml:space="preserve">. </w:t>
            </w:r>
          </w:p>
          <w:p w:rsidR="00F51D5E" w:rsidRDefault="00F51D5E">
            <w:pPr>
              <w:pStyle w:val="KeinLeerraum"/>
            </w:pPr>
          </w:p>
          <w:p w:rsidR="00F719EF" w:rsidRDefault="00153826">
            <w:pPr>
              <w:pStyle w:val="KeinLeerraum"/>
            </w:pPr>
            <w:r>
              <w:t>Nichtsdestoweniger könnte es helfen, wenn Sie die Arbeitsergebnisse</w:t>
            </w:r>
            <w:r w:rsidR="006C7B92">
              <w:t xml:space="preserve"> gemeinsam mit Ihren Kindern besprechen und insbesondere bei den eigenständig verfassten Texten auf Kriterien wie gedankliche Ordnung, stilistischer Fluss, argumentative Überzeugungskraft und sprachliche Richtigkeit achten.   </w:t>
            </w:r>
          </w:p>
          <w:p w:rsidR="00F719EF" w:rsidRDefault="00F719EF">
            <w:pPr>
              <w:pStyle w:val="KeinLeerraum"/>
            </w:pPr>
          </w:p>
          <w:p w:rsidR="00941717" w:rsidRDefault="00F719EF">
            <w:pPr>
              <w:pStyle w:val="KeinLeerraum"/>
            </w:pPr>
            <w:r>
              <w:t xml:space="preserve">Insbesondere die Abschnitte 4 und 5 der Datei eignen sich zur effektiven Vorbereitung auf das schriftliche Zentralabitur im Fach Werte und Normen.     </w:t>
            </w:r>
          </w:p>
        </w:tc>
      </w:tr>
    </w:tbl>
    <w:p w:rsidR="00941717" w:rsidRDefault="007E2B25" w:rsidP="00F719EF">
      <w:pPr>
        <w:spacing w:before="280" w:after="0"/>
      </w:pPr>
      <w:r w:rsidRPr="007E2B25">
        <w:rPr>
          <w:rFonts w:ascii="Liberation Serif" w:eastAsia="Times New Roman" w:hAnsi="Liberation Serif" w:cs="Liberation Serif"/>
          <w:color w:val="000000"/>
          <w:sz w:val="20"/>
          <w:szCs w:val="20"/>
          <w:lang w:eastAsia="de-DE"/>
        </w:rPr>
        <w:t>Quelle: Schimschal</w:t>
      </w:r>
      <w:r w:rsidR="002E3572">
        <w:rPr>
          <w:rFonts w:ascii="Liberation Serif" w:eastAsia="Times New Roman" w:hAnsi="Liberation Serif" w:cs="Liberation Serif"/>
          <w:color w:val="000000"/>
          <w:sz w:val="20"/>
          <w:szCs w:val="20"/>
          <w:lang w:eastAsia="de-DE"/>
        </w:rPr>
        <w:t xml:space="preserve"> / Heim</w:t>
      </w:r>
      <w:r w:rsidRPr="007E2B25">
        <w:rPr>
          <w:rFonts w:ascii="Liberation Serif" w:eastAsia="Times New Roman" w:hAnsi="Liberation Serif" w:cs="Liberation Serif"/>
          <w:color w:val="000000"/>
          <w:sz w:val="20"/>
          <w:szCs w:val="20"/>
          <w:lang w:eastAsia="de-DE"/>
        </w:rPr>
        <w:t xml:space="preserve"> (eigene Zusammenstellung) </w:t>
      </w:r>
    </w:p>
    <w:sectPr w:rsidR="00941717">
      <w:footerReference w:type="default" r:id="rId8"/>
      <w:pgSz w:w="11906" w:h="16838"/>
      <w:pgMar w:top="851" w:right="851" w:bottom="851" w:left="1418"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C1" w:rsidRDefault="001F7DC1">
      <w:pPr>
        <w:spacing w:after="0"/>
      </w:pPr>
      <w:r>
        <w:separator/>
      </w:r>
    </w:p>
  </w:endnote>
  <w:endnote w:type="continuationSeparator" w:id="0">
    <w:p w:rsidR="001F7DC1" w:rsidRDefault="001F7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17" w:rsidRDefault="000B5BE7">
    <w:pPr>
      <w:pStyle w:val="Fuzeile"/>
      <w:jc w:val="right"/>
    </w:pPr>
    <w:r>
      <w:fldChar w:fldCharType="begin"/>
    </w:r>
    <w:r>
      <w:instrText>PAGE</w:instrText>
    </w:r>
    <w:r>
      <w:fldChar w:fldCharType="separate"/>
    </w:r>
    <w:r w:rsidR="00206FBD">
      <w:rPr>
        <w:noProof/>
      </w:rPr>
      <w:t>1</w:t>
    </w:r>
    <w:r>
      <w:fldChar w:fldCharType="end"/>
    </w:r>
  </w:p>
  <w:p w:rsidR="00941717" w:rsidRDefault="009417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C1" w:rsidRDefault="001F7DC1">
      <w:r>
        <w:separator/>
      </w:r>
    </w:p>
  </w:footnote>
  <w:footnote w:type="continuationSeparator" w:id="0">
    <w:p w:rsidR="001F7DC1" w:rsidRDefault="001F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17"/>
    <w:rsid w:val="000B5BE7"/>
    <w:rsid w:val="00153826"/>
    <w:rsid w:val="001F13D6"/>
    <w:rsid w:val="001F7DC1"/>
    <w:rsid w:val="00206FBD"/>
    <w:rsid w:val="002803D1"/>
    <w:rsid w:val="002E3572"/>
    <w:rsid w:val="00371537"/>
    <w:rsid w:val="00443CB7"/>
    <w:rsid w:val="00552A50"/>
    <w:rsid w:val="00570F00"/>
    <w:rsid w:val="005F4272"/>
    <w:rsid w:val="006C7B92"/>
    <w:rsid w:val="007E2B25"/>
    <w:rsid w:val="00883CC6"/>
    <w:rsid w:val="008C2198"/>
    <w:rsid w:val="008E4AC6"/>
    <w:rsid w:val="009164C7"/>
    <w:rsid w:val="00920AE8"/>
    <w:rsid w:val="00941717"/>
    <w:rsid w:val="00950F0D"/>
    <w:rsid w:val="009E4AF9"/>
    <w:rsid w:val="00AD2867"/>
    <w:rsid w:val="00B1737D"/>
    <w:rsid w:val="00B45914"/>
    <w:rsid w:val="00C34B0A"/>
    <w:rsid w:val="00D64ABD"/>
    <w:rsid w:val="00F45F16"/>
    <w:rsid w:val="00F51D5E"/>
    <w:rsid w:val="00F71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F4316-92EC-4005-8B4A-24ADD430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FootnoteCharacters">
    <w:name w:val="Footnote Characters"/>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Characters">
    <w:name w:val="Endnote Characters"/>
    <w:qFormat/>
  </w:style>
  <w:style w:type="character" w:styleId="Funotenzeichen">
    <w:name w:val="footnote reference"/>
    <w:qFormat/>
  </w:style>
  <w:style w:type="character" w:styleId="Endnotenzeichen">
    <w:name w:val="endnote reference"/>
    <w:qFormat/>
  </w:style>
  <w:style w:type="paragraph" w:customStyle="1" w:styleId="berschrift">
    <w:name w:val="Überschrift"/>
    <w:basedOn w:val="Standard"/>
    <w:next w:val="Textkrper"/>
    <w:qFormat/>
    <w:pPr>
      <w:keepNext/>
      <w:spacing w:before="24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KeinLeerraum">
    <w:name w:val="No Spacing"/>
    <w:qFormat/>
    <w:rPr>
      <w:rFonts w:ascii="DejaVu Sans" w:hAnsi="DejaVu Sans"/>
      <w:sz w:val="16"/>
    </w:rPr>
  </w:style>
  <w:style w:type="paragraph" w:customStyle="1" w:styleId="LinkeSpalte">
    <w:name w:val="Linke Spalte"/>
    <w:basedOn w:val="Standard"/>
    <w:qFormat/>
    <w:rPr>
      <w:rFonts w:ascii="DejaVu Sans" w:hAnsi="DejaVu Sans"/>
      <w:sz w:val="12"/>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customStyle="1" w:styleId="Tabelleninhalt">
    <w:name w:val="Tabelleninhalt"/>
    <w:basedOn w:val="Standard"/>
    <w:qFormat/>
    <w:pPr>
      <w:suppressLineNumbers/>
    </w:pPr>
  </w:style>
  <w:style w:type="paragraph" w:styleId="Funotentext">
    <w:name w:val="footnote text"/>
    <w:basedOn w:val="Standard"/>
    <w:pPr>
      <w:suppressLineNumbers/>
      <w:ind w:left="339" w:hanging="339"/>
    </w:pPr>
    <w:rPr>
      <w:sz w:val="20"/>
      <w:szCs w:val="20"/>
    </w:rPr>
  </w:style>
  <w:style w:type="character" w:styleId="Hyperlink">
    <w:name w:val="Hyperlink"/>
    <w:basedOn w:val="Absatz-Standardschriftart"/>
    <w:uiPriority w:val="99"/>
    <w:unhideWhenUsed/>
    <w:rsid w:val="007E2B25"/>
    <w:rPr>
      <w:color w:val="0563C1" w:themeColor="hyperlink"/>
      <w:u w:val="single"/>
    </w:rPr>
  </w:style>
  <w:style w:type="character" w:customStyle="1" w:styleId="UnresolvedMention">
    <w:name w:val="Unresolved Mention"/>
    <w:basedOn w:val="Absatz-Standardschriftart"/>
    <w:uiPriority w:val="99"/>
    <w:semiHidden/>
    <w:unhideWhenUsed/>
    <w:rsid w:val="007E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ilhelm.Heim@nlsch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rsten.Schimschal@nlschb.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5F97C78E.dotm</Template>
  <TotalTime>0</TotalTime>
  <Pages>1</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Deffner, Wolfgang (NLSchB)</dc:creator>
  <dc:description/>
  <cp:lastModifiedBy>Brüning, Beatrix (NLSchB)</cp:lastModifiedBy>
  <cp:revision>2</cp:revision>
  <dcterms:created xsi:type="dcterms:W3CDTF">2020-05-04T07:32:00Z</dcterms:created>
  <dcterms:modified xsi:type="dcterms:W3CDTF">2020-05-04T07:32:00Z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IT.Niedersachsen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